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5AF4" w:rsidRPr="00880AD7" w:rsidRDefault="00880AD7" w:rsidP="00585BAF">
      <w:pPr>
        <w:jc w:val="both"/>
        <w:rPr>
          <w:rFonts w:cstheme="minorHAnsi"/>
          <w:bCs/>
          <w:lang w:val="en-US"/>
        </w:rPr>
      </w:pPr>
      <w:r w:rsidRPr="00880AD7">
        <w:rPr>
          <w:noProof/>
          <w:lang w:eastAsia="zh-CN"/>
        </w:rPr>
        <w:drawing>
          <wp:inline distT="0" distB="0" distL="0" distR="0" wp14:anchorId="76EE4313" wp14:editId="2D90301B">
            <wp:extent cx="5536400" cy="654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9614" cy="741851"/>
                    </a:xfrm>
                    <a:prstGeom prst="rect">
                      <a:avLst/>
                    </a:prstGeom>
                    <a:noFill/>
                    <a:ln>
                      <a:noFill/>
                    </a:ln>
                  </pic:spPr>
                </pic:pic>
              </a:graphicData>
            </a:graphic>
          </wp:inline>
        </w:drawing>
      </w:r>
    </w:p>
    <w:p w:rsidR="00880AD7" w:rsidRPr="00880AD7" w:rsidRDefault="00880AD7" w:rsidP="00880AD7">
      <w:pPr>
        <w:pStyle w:val="Header"/>
        <w:jc w:val="center"/>
        <w:rPr>
          <w:sz w:val="22"/>
          <w:szCs w:val="22"/>
        </w:rPr>
      </w:pPr>
    </w:p>
    <w:p w:rsidR="00880AD7" w:rsidRPr="00880AD7" w:rsidRDefault="00880AD7" w:rsidP="00880AD7">
      <w:pPr>
        <w:jc w:val="center"/>
        <w:rPr>
          <w:rFonts w:cstheme="minorHAnsi"/>
          <w:bCs/>
          <w:lang w:val="en-US"/>
        </w:rPr>
      </w:pPr>
    </w:p>
    <w:p w:rsidR="00EB5AF4" w:rsidRPr="00880AD7" w:rsidRDefault="00880AD7" w:rsidP="00880AD7">
      <w:pPr>
        <w:jc w:val="center"/>
        <w:rPr>
          <w:rFonts w:cstheme="minorHAnsi"/>
          <w:bCs/>
          <w:lang w:val="en-US"/>
        </w:rPr>
      </w:pPr>
      <w:r w:rsidRPr="00880AD7">
        <w:rPr>
          <w:rFonts w:cstheme="minorHAnsi"/>
          <w:bCs/>
          <w:lang w:val="en-US"/>
        </w:rPr>
        <w:t xml:space="preserve">BRIEFING: </w:t>
      </w:r>
      <w:r w:rsidR="00EB5AF4" w:rsidRPr="00880AD7">
        <w:rPr>
          <w:rFonts w:cstheme="minorHAnsi"/>
          <w:bCs/>
          <w:lang w:val="en-US"/>
        </w:rPr>
        <w:t>TRIAL BY JURY</w:t>
      </w:r>
    </w:p>
    <w:p w:rsidR="00EB5AF4" w:rsidRPr="00880AD7" w:rsidRDefault="00EB5AF4" w:rsidP="00585BAF">
      <w:pPr>
        <w:jc w:val="both"/>
        <w:rPr>
          <w:rFonts w:cstheme="minorHAnsi"/>
          <w:bCs/>
          <w:lang w:val="en-US"/>
        </w:rPr>
      </w:pPr>
    </w:p>
    <w:p w:rsidR="00073A3E" w:rsidRPr="002124A5" w:rsidRDefault="002124A5" w:rsidP="00585BAF">
      <w:pPr>
        <w:pStyle w:val="NormalWeb"/>
        <w:numPr>
          <w:ilvl w:val="0"/>
          <w:numId w:val="3"/>
        </w:numPr>
        <w:jc w:val="both"/>
        <w:rPr>
          <w:rFonts w:asciiTheme="minorHAnsi" w:hAnsiTheme="minorHAnsi" w:cstheme="minorHAnsi"/>
          <w:bCs/>
          <w:color w:val="000000" w:themeColor="text1"/>
          <w:sz w:val="22"/>
          <w:szCs w:val="22"/>
        </w:rPr>
      </w:pPr>
      <w:r w:rsidRPr="002124A5">
        <w:rPr>
          <w:rFonts w:asciiTheme="minorHAnsi" w:hAnsiTheme="minorHAnsi" w:cstheme="minorHAnsi"/>
          <w:bCs/>
          <w:i/>
          <w:iCs/>
          <w:color w:val="000000" w:themeColor="text1"/>
          <w:sz w:val="22"/>
          <w:szCs w:val="22"/>
        </w:rPr>
        <w:t>‘One stage in the criminal justice system where B[A]ME groups do not face persistent disproportionality is when a jury reaches a verdict</w:t>
      </w:r>
      <w:r w:rsidRPr="002124A5">
        <w:rPr>
          <w:rFonts w:asciiTheme="minorHAnsi" w:hAnsiTheme="minorHAnsi" w:cstheme="minorHAnsi"/>
          <w:bCs/>
          <w:color w:val="000000" w:themeColor="text1"/>
          <w:sz w:val="22"/>
          <w:szCs w:val="22"/>
        </w:rPr>
        <w:t>.’ So found t</w:t>
      </w:r>
      <w:r w:rsidR="00073A3E" w:rsidRPr="002124A5">
        <w:rPr>
          <w:rFonts w:asciiTheme="minorHAnsi" w:hAnsiTheme="minorHAnsi" w:cstheme="minorHAnsi"/>
          <w:bCs/>
          <w:color w:val="000000" w:themeColor="text1"/>
          <w:sz w:val="22"/>
          <w:szCs w:val="22"/>
        </w:rPr>
        <w:t>he</w:t>
      </w:r>
      <w:r>
        <w:rPr>
          <w:rFonts w:asciiTheme="minorHAnsi" w:hAnsiTheme="minorHAnsi" w:cstheme="minorHAnsi"/>
          <w:bCs/>
          <w:color w:val="000000" w:themeColor="text1"/>
          <w:sz w:val="22"/>
          <w:szCs w:val="22"/>
        </w:rPr>
        <w:t xml:space="preserve"> </w:t>
      </w:r>
      <w:r w:rsidR="00073A3E" w:rsidRPr="002124A5">
        <w:rPr>
          <w:rFonts w:asciiTheme="minorHAnsi" w:hAnsiTheme="minorHAnsi" w:cstheme="minorHAnsi"/>
          <w:bCs/>
          <w:color w:val="000000" w:themeColor="text1"/>
          <w:sz w:val="22"/>
          <w:szCs w:val="22"/>
        </w:rPr>
        <w:t xml:space="preserve">most thorough study undertaken in this country </w:t>
      </w:r>
      <w:r>
        <w:rPr>
          <w:rFonts w:asciiTheme="minorHAnsi" w:hAnsiTheme="minorHAnsi" w:cstheme="minorHAnsi"/>
          <w:bCs/>
          <w:color w:val="000000" w:themeColor="text1"/>
          <w:sz w:val="22"/>
          <w:szCs w:val="22"/>
        </w:rPr>
        <w:t>–‘Are Juries Fair?’</w:t>
      </w:r>
      <w:r w:rsidR="00073A3E" w:rsidRPr="002124A5">
        <w:rPr>
          <w:rFonts w:asciiTheme="minorHAnsi" w:hAnsiTheme="minorHAnsi" w:cstheme="minorHAnsi"/>
          <w:bCs/>
          <w:color w:val="000000" w:themeColor="text1"/>
          <w:sz w:val="22"/>
          <w:szCs w:val="22"/>
        </w:rPr>
        <w:t xml:space="preserve"> </w:t>
      </w:r>
      <w:hyperlink r:id="rId6" w:history="1">
        <w:r w:rsidR="00073A3E" w:rsidRPr="002124A5">
          <w:rPr>
            <w:rStyle w:val="Hyperlink"/>
            <w:rFonts w:asciiTheme="minorHAnsi" w:hAnsiTheme="minorHAnsi" w:cstheme="minorHAnsi"/>
            <w:bCs/>
            <w:color w:val="000000" w:themeColor="text1"/>
            <w:sz w:val="22"/>
            <w:szCs w:val="22"/>
          </w:rPr>
          <w:t xml:space="preserve">Cheryl Thomas, </w:t>
        </w:r>
        <w:proofErr w:type="spellStart"/>
        <w:r w:rsidR="00073A3E" w:rsidRPr="002124A5">
          <w:rPr>
            <w:rStyle w:val="Hyperlink"/>
            <w:rFonts w:asciiTheme="minorHAnsi" w:hAnsiTheme="minorHAnsi" w:cstheme="minorHAnsi"/>
            <w:bCs/>
            <w:color w:val="000000" w:themeColor="text1"/>
            <w:sz w:val="22"/>
            <w:szCs w:val="22"/>
          </w:rPr>
          <w:t>MoJ</w:t>
        </w:r>
        <w:proofErr w:type="spellEnd"/>
        <w:r w:rsidR="00073A3E" w:rsidRPr="002124A5">
          <w:rPr>
            <w:rStyle w:val="Hyperlink"/>
            <w:rFonts w:asciiTheme="minorHAnsi" w:hAnsiTheme="minorHAnsi" w:cstheme="minorHAnsi"/>
            <w:bCs/>
            <w:color w:val="000000" w:themeColor="text1"/>
            <w:sz w:val="22"/>
            <w:szCs w:val="22"/>
          </w:rPr>
          <w:t xml:space="preserve"> 2010</w:t>
        </w:r>
      </w:hyperlink>
      <w:r w:rsidR="00073A3E" w:rsidRPr="002124A5">
        <w:rPr>
          <w:rFonts w:asciiTheme="minorHAnsi" w:hAnsiTheme="minorHAnsi" w:cstheme="minorHAnsi"/>
          <w:bCs/>
          <w:color w:val="000000" w:themeColor="text1"/>
          <w:sz w:val="22"/>
          <w:szCs w:val="22"/>
        </w:rPr>
        <w:t xml:space="preserve">.  All-white juries do not discriminate against defendants from black and minority ethnic backgrounds. The 2010 study was </w:t>
      </w:r>
      <w:hyperlink r:id="rId7" w:history="1">
        <w:r w:rsidR="00073A3E" w:rsidRPr="002124A5">
          <w:rPr>
            <w:rStyle w:val="Hyperlink"/>
            <w:rFonts w:asciiTheme="minorHAnsi" w:hAnsiTheme="minorHAnsi" w:cstheme="minorHAnsi"/>
            <w:bCs/>
            <w:color w:val="000000" w:themeColor="text1"/>
            <w:sz w:val="22"/>
            <w:szCs w:val="22"/>
          </w:rPr>
          <w:t>updated in 2017</w:t>
        </w:r>
      </w:hyperlink>
      <w:r w:rsidR="00073A3E" w:rsidRPr="002124A5">
        <w:rPr>
          <w:rFonts w:asciiTheme="minorHAnsi" w:hAnsiTheme="minorHAnsi" w:cstheme="minorHAnsi"/>
          <w:bCs/>
          <w:color w:val="000000" w:themeColor="text1"/>
          <w:sz w:val="22"/>
          <w:szCs w:val="22"/>
        </w:rPr>
        <w:t>. As with the 2010 study, it found that jury conviction rates are very similar across different ethnic groups. White, Black, Asian and Mixed ethnic defendants are all convicted at rates of between 66% and 68%</w:t>
      </w:r>
      <w:r w:rsidRPr="002124A5">
        <w:rPr>
          <w:rFonts w:asciiTheme="minorHAnsi" w:hAnsiTheme="minorHAnsi" w:cstheme="minorHAnsi"/>
          <w:bCs/>
          <w:color w:val="000000" w:themeColor="text1"/>
          <w:sz w:val="22"/>
          <w:szCs w:val="22"/>
        </w:rPr>
        <w:t>.</w:t>
      </w:r>
      <w:r w:rsidR="00073A3E" w:rsidRPr="002124A5">
        <w:rPr>
          <w:rFonts w:asciiTheme="minorHAnsi" w:hAnsiTheme="minorHAnsi" w:cstheme="minorHAnsi"/>
          <w:bCs/>
          <w:color w:val="000000" w:themeColor="text1"/>
          <w:sz w:val="22"/>
          <w:szCs w:val="22"/>
        </w:rPr>
        <w:t xml:space="preserve"> </w:t>
      </w:r>
    </w:p>
    <w:p w:rsidR="002F4E4A" w:rsidRPr="002124A5" w:rsidRDefault="00073A3E" w:rsidP="00585BAF">
      <w:pPr>
        <w:pStyle w:val="ListParagraph"/>
        <w:numPr>
          <w:ilvl w:val="0"/>
          <w:numId w:val="3"/>
        </w:numPr>
        <w:jc w:val="both"/>
        <w:rPr>
          <w:rFonts w:cstheme="minorHAnsi"/>
          <w:bCs/>
          <w:color w:val="000000" w:themeColor="text1"/>
        </w:rPr>
      </w:pPr>
      <w:r w:rsidRPr="002124A5">
        <w:rPr>
          <w:rFonts w:cstheme="minorHAnsi"/>
          <w:bCs/>
          <w:color w:val="000000" w:themeColor="text1"/>
        </w:rPr>
        <w:t xml:space="preserve">Magistrates convict a </w:t>
      </w:r>
      <w:r w:rsidR="002F4E4A" w:rsidRPr="002124A5">
        <w:rPr>
          <w:rFonts w:cstheme="minorHAnsi"/>
          <w:bCs/>
          <w:color w:val="000000" w:themeColor="text1"/>
        </w:rPr>
        <w:t>disproportionate</w:t>
      </w:r>
      <w:r w:rsidRPr="002124A5">
        <w:rPr>
          <w:rFonts w:cstheme="minorHAnsi"/>
          <w:bCs/>
          <w:color w:val="000000" w:themeColor="text1"/>
        </w:rPr>
        <w:t xml:space="preserve"> number of BAME women (</w:t>
      </w:r>
      <w:proofErr w:type="spellStart"/>
      <w:r w:rsidRPr="002124A5">
        <w:rPr>
          <w:rFonts w:cstheme="minorHAnsi"/>
          <w:bCs/>
          <w:color w:val="000000" w:themeColor="text1"/>
        </w:rPr>
        <w:fldChar w:fldCharType="begin"/>
      </w:r>
      <w:r w:rsidRPr="002124A5">
        <w:rPr>
          <w:rFonts w:cstheme="minorHAnsi"/>
          <w:bCs/>
          <w:color w:val="000000" w:themeColor="text1"/>
        </w:rPr>
        <w:instrText xml:space="preserve"> HYPERLINK "https://assets.publishing.service.gov.uk/government/uploads/system/uploads/attachment_data/file/643001/lammy-review-final-report.pdf" </w:instrText>
      </w:r>
      <w:r w:rsidRPr="002124A5">
        <w:rPr>
          <w:rFonts w:cstheme="minorHAnsi"/>
          <w:bCs/>
          <w:color w:val="000000" w:themeColor="text1"/>
        </w:rPr>
        <w:fldChar w:fldCharType="separate"/>
      </w:r>
      <w:r w:rsidRPr="002124A5">
        <w:rPr>
          <w:rStyle w:val="Hyperlink"/>
          <w:rFonts w:cstheme="minorHAnsi"/>
          <w:bCs/>
          <w:color w:val="000000" w:themeColor="text1"/>
        </w:rPr>
        <w:t>Lammy</w:t>
      </w:r>
      <w:proofErr w:type="spellEnd"/>
      <w:r w:rsidRPr="002124A5">
        <w:rPr>
          <w:rStyle w:val="Hyperlink"/>
          <w:rFonts w:cstheme="minorHAnsi"/>
          <w:bCs/>
          <w:color w:val="000000" w:themeColor="text1"/>
        </w:rPr>
        <w:t xml:space="preserve"> review</w:t>
      </w:r>
      <w:r w:rsidRPr="002124A5">
        <w:rPr>
          <w:rFonts w:cstheme="minorHAnsi"/>
          <w:bCs/>
          <w:color w:val="000000" w:themeColor="text1"/>
        </w:rPr>
        <w:fldChar w:fldCharType="end"/>
      </w:r>
      <w:r w:rsidRPr="002124A5">
        <w:rPr>
          <w:rFonts w:cstheme="minorHAnsi"/>
          <w:bCs/>
          <w:color w:val="000000" w:themeColor="text1"/>
        </w:rPr>
        <w:t>)</w:t>
      </w:r>
      <w:r w:rsidR="002F4E4A" w:rsidRPr="002124A5">
        <w:rPr>
          <w:rFonts w:cstheme="minorHAnsi"/>
          <w:bCs/>
          <w:color w:val="000000" w:themeColor="text1"/>
        </w:rPr>
        <w:t xml:space="preserve"> but there is an absence of sound data to conduct detailed analysis.</w:t>
      </w:r>
    </w:p>
    <w:p w:rsidR="002F4E4A" w:rsidRPr="002124A5" w:rsidRDefault="002F4E4A" w:rsidP="00585BAF">
      <w:pPr>
        <w:pStyle w:val="ListParagraph"/>
        <w:numPr>
          <w:ilvl w:val="0"/>
          <w:numId w:val="3"/>
        </w:numPr>
        <w:jc w:val="both"/>
        <w:rPr>
          <w:rFonts w:cstheme="minorHAnsi"/>
          <w:bCs/>
          <w:color w:val="000000" w:themeColor="text1"/>
        </w:rPr>
      </w:pPr>
      <w:r w:rsidRPr="002124A5">
        <w:rPr>
          <w:rFonts w:cstheme="minorHAnsi"/>
          <w:bCs/>
          <w:color w:val="000000" w:themeColor="text1"/>
        </w:rPr>
        <w:t xml:space="preserve">There is strong evidence of racial disparity in sentencing decisions in the Crown court according to </w:t>
      </w:r>
      <w:hyperlink r:id="rId8" w:history="1">
        <w:r w:rsidRPr="002124A5">
          <w:rPr>
            <w:rStyle w:val="Hyperlink"/>
            <w:rFonts w:cstheme="minorHAnsi"/>
            <w:bCs/>
            <w:color w:val="000000" w:themeColor="text1"/>
          </w:rPr>
          <w:t>research conducted by the MOJ in 2016</w:t>
        </w:r>
      </w:hyperlink>
      <w:r w:rsidRPr="002124A5">
        <w:rPr>
          <w:rFonts w:cstheme="minorHAnsi"/>
          <w:bCs/>
          <w:color w:val="000000" w:themeColor="text1"/>
        </w:rPr>
        <w:t xml:space="preserve">. The </w:t>
      </w:r>
      <w:proofErr w:type="spellStart"/>
      <w:r w:rsidRPr="002124A5">
        <w:rPr>
          <w:rFonts w:cstheme="minorHAnsi"/>
          <w:bCs/>
          <w:color w:val="000000" w:themeColor="text1"/>
        </w:rPr>
        <w:t>Lammy</w:t>
      </w:r>
      <w:proofErr w:type="spellEnd"/>
      <w:r w:rsidRPr="002124A5">
        <w:rPr>
          <w:rFonts w:cstheme="minorHAnsi"/>
          <w:bCs/>
          <w:color w:val="000000" w:themeColor="text1"/>
        </w:rPr>
        <w:t xml:space="preserve"> report concludes ‘</w:t>
      </w:r>
      <w:r w:rsidRPr="002124A5">
        <w:rPr>
          <w:rFonts w:cstheme="minorHAnsi"/>
          <w:i/>
          <w:iCs/>
          <w:color w:val="000000" w:themeColor="text1"/>
        </w:rPr>
        <w:t>The finding that, within drug offences, the odds of receiving a prison sentence were around 240% higher for BAME offenders is deeply worrying. Many will conclude that this is evidence of bias</w:t>
      </w:r>
      <w:r w:rsidRPr="002124A5">
        <w:rPr>
          <w:rFonts w:cstheme="minorHAnsi"/>
          <w:color w:val="000000" w:themeColor="text1"/>
        </w:rPr>
        <w:t>.’</w:t>
      </w:r>
    </w:p>
    <w:p w:rsidR="00585BAF" w:rsidRPr="002124A5" w:rsidRDefault="002F4E4A" w:rsidP="00585BAF">
      <w:pPr>
        <w:pStyle w:val="ListParagraph"/>
        <w:numPr>
          <w:ilvl w:val="0"/>
          <w:numId w:val="3"/>
        </w:numPr>
        <w:jc w:val="both"/>
        <w:rPr>
          <w:rFonts w:cstheme="minorHAnsi"/>
          <w:bCs/>
          <w:color w:val="000000" w:themeColor="text1"/>
        </w:rPr>
      </w:pPr>
      <w:r w:rsidRPr="002124A5">
        <w:rPr>
          <w:rFonts w:cstheme="minorHAnsi"/>
          <w:bCs/>
          <w:color w:val="000000" w:themeColor="text1"/>
        </w:rPr>
        <w:t>Racial disparity in treatment by judges cannot be corrected easily on appeal as individual decisions are often within the range of judicial discretion (</w:t>
      </w:r>
      <w:hyperlink r:id="rId9" w:history="1">
        <w:r w:rsidRPr="002124A5">
          <w:rPr>
            <w:rStyle w:val="Hyperlink"/>
            <w:rFonts w:cstheme="minorHAnsi"/>
            <w:bCs/>
            <w:color w:val="000000" w:themeColor="text1"/>
          </w:rPr>
          <w:t>research conducted by the MOJ in 2016</w:t>
        </w:r>
      </w:hyperlink>
      <w:r w:rsidRPr="002124A5">
        <w:rPr>
          <w:rFonts w:cstheme="minorHAnsi"/>
          <w:bCs/>
          <w:color w:val="000000" w:themeColor="text1"/>
        </w:rPr>
        <w:t>)</w:t>
      </w:r>
      <w:r w:rsidR="002124A5" w:rsidRPr="002124A5">
        <w:rPr>
          <w:rFonts w:cstheme="minorHAnsi"/>
          <w:bCs/>
          <w:color w:val="000000" w:themeColor="text1"/>
        </w:rPr>
        <w:t>.</w:t>
      </w:r>
    </w:p>
    <w:p w:rsidR="00585BAF" w:rsidRPr="002124A5" w:rsidRDefault="00585BAF" w:rsidP="00585BAF">
      <w:pPr>
        <w:pStyle w:val="ListParagraph"/>
        <w:numPr>
          <w:ilvl w:val="0"/>
          <w:numId w:val="3"/>
        </w:numPr>
        <w:jc w:val="both"/>
        <w:rPr>
          <w:rFonts w:cstheme="minorHAnsi"/>
          <w:bCs/>
          <w:color w:val="000000" w:themeColor="text1"/>
        </w:rPr>
      </w:pPr>
      <w:r w:rsidRPr="002124A5">
        <w:rPr>
          <w:rFonts w:cstheme="minorHAnsi"/>
          <w:bCs/>
          <w:color w:val="000000" w:themeColor="text1"/>
        </w:rPr>
        <w:t>A review of the Diplock courts of Northern Ireland found that the trial dynamics were altered profoundly but defendants were not necessarily prejudiced by being tried in Diplock courts. Judges became more interventionist, in particular with their questioning of defence witnesses. ‘</w:t>
      </w:r>
      <w:r w:rsidRPr="002124A5">
        <w:rPr>
          <w:rFonts w:cstheme="minorHAnsi"/>
          <w:bCs/>
          <w:i/>
          <w:iCs/>
          <w:color w:val="000000" w:themeColor="text1"/>
        </w:rPr>
        <w:t>T</w:t>
      </w:r>
      <w:r w:rsidRPr="002124A5">
        <w:rPr>
          <w:rFonts w:cstheme="minorHAnsi"/>
          <w:i/>
          <w:iCs/>
          <w:color w:val="000000" w:themeColor="text1"/>
        </w:rPr>
        <w:t>he style of advocacy changed—counsel dropped arguments that might have won sympathy from jurors. (It is a particular risk in a small jurisdiction (or circuit), that counsel feel obliged to tailor their submissions and hesitate to challenge judicial rulings through concern about prejudicing the verdict). There was greater pressure on defence counsel to plea bargain and to plead guilty. Between 1973 and 1979, acquittals fell from 15 per cent to six per cent, and the rate of guilty pleas rose from 59 per cent to 75 per cen</w:t>
      </w:r>
      <w:r w:rsidRPr="002124A5">
        <w:rPr>
          <w:rFonts w:cstheme="minorHAnsi"/>
          <w:color w:val="000000" w:themeColor="text1"/>
        </w:rPr>
        <w:t>t’.</w:t>
      </w:r>
      <w:r w:rsidRPr="002124A5">
        <w:rPr>
          <w:rFonts w:cstheme="minorHAnsi"/>
          <w:bCs/>
          <w:color w:val="000000" w:themeColor="text1"/>
        </w:rPr>
        <w:t xml:space="preserve"> (J. Jackson “Many years on in Northern Ireland: the Diplock legacy” (2009) 60 N.I.L.Q. 213, review in Hannah Quirk’s ‘Covid-1 and jury-less trials’ Crim. L.R.2020 7, 569-571). The DPP for Northern Ireland can still certify that a trial should be held without a jury and there were 42 cases in the last year. The legislation was due to expire after two years but has been extended by successive orders since 2007.</w:t>
      </w:r>
    </w:p>
    <w:p w:rsidR="00880AD7" w:rsidRPr="002124A5" w:rsidRDefault="00880AD7" w:rsidP="00880AD7">
      <w:pPr>
        <w:pStyle w:val="ListParagraph"/>
        <w:numPr>
          <w:ilvl w:val="0"/>
          <w:numId w:val="3"/>
        </w:numPr>
        <w:jc w:val="both"/>
        <w:rPr>
          <w:rFonts w:cstheme="minorHAnsi"/>
          <w:bCs/>
          <w:color w:val="000000" w:themeColor="text1"/>
        </w:rPr>
      </w:pPr>
      <w:r w:rsidRPr="002124A5">
        <w:rPr>
          <w:rFonts w:cstheme="minorHAnsi"/>
          <w:bCs/>
          <w:color w:val="000000" w:themeColor="text1"/>
        </w:rPr>
        <w:t xml:space="preserve">The magistracy and Crown court judges are </w:t>
      </w:r>
      <w:r w:rsidR="00495473">
        <w:rPr>
          <w:rFonts w:cstheme="minorHAnsi"/>
          <w:bCs/>
          <w:color w:val="000000" w:themeColor="text1"/>
        </w:rPr>
        <w:t>un</w:t>
      </w:r>
      <w:r w:rsidRPr="002124A5">
        <w:rPr>
          <w:rFonts w:cstheme="minorHAnsi"/>
          <w:bCs/>
          <w:color w:val="000000" w:themeColor="text1"/>
        </w:rPr>
        <w:t>representative of the population at large in terms of ethnicity, gender, age and socio</w:t>
      </w:r>
      <w:r w:rsidR="002124A5">
        <w:rPr>
          <w:rFonts w:cstheme="minorHAnsi"/>
          <w:bCs/>
          <w:color w:val="000000" w:themeColor="text1"/>
        </w:rPr>
        <w:t>-</w:t>
      </w:r>
      <w:proofErr w:type="spellStart"/>
      <w:r w:rsidRPr="002124A5">
        <w:rPr>
          <w:rFonts w:cstheme="minorHAnsi"/>
          <w:bCs/>
          <w:color w:val="000000" w:themeColor="text1"/>
        </w:rPr>
        <w:t>ecomonic</w:t>
      </w:r>
      <w:proofErr w:type="spellEnd"/>
      <w:r w:rsidRPr="002124A5">
        <w:rPr>
          <w:rFonts w:cstheme="minorHAnsi"/>
          <w:bCs/>
          <w:color w:val="000000" w:themeColor="text1"/>
        </w:rPr>
        <w:t xml:space="preserve"> background (</w:t>
      </w:r>
      <w:hyperlink r:id="rId10" w:history="1">
        <w:r w:rsidRPr="002124A5">
          <w:rPr>
            <w:rStyle w:val="Hyperlink"/>
            <w:rFonts w:cstheme="minorHAnsi"/>
            <w:bCs/>
            <w:color w:val="000000" w:themeColor="text1"/>
          </w:rPr>
          <w:t>Judicial diversity statistics</w:t>
        </w:r>
      </w:hyperlink>
      <w:r w:rsidRPr="002124A5">
        <w:rPr>
          <w:rFonts w:cstheme="minorHAnsi"/>
          <w:bCs/>
          <w:color w:val="000000" w:themeColor="text1"/>
        </w:rPr>
        <w:t>).</w:t>
      </w:r>
    </w:p>
    <w:p w:rsidR="00880AD7" w:rsidRPr="002124A5" w:rsidRDefault="00556809" w:rsidP="00880AD7">
      <w:pPr>
        <w:pStyle w:val="ListParagraph"/>
        <w:numPr>
          <w:ilvl w:val="0"/>
          <w:numId w:val="3"/>
        </w:numPr>
        <w:jc w:val="both"/>
        <w:rPr>
          <w:rFonts w:cstheme="minorHAnsi"/>
          <w:bCs/>
          <w:color w:val="000000" w:themeColor="text1"/>
        </w:rPr>
      </w:pPr>
      <w:r w:rsidRPr="002124A5">
        <w:rPr>
          <w:rFonts w:cstheme="minorHAnsi"/>
          <w:bCs/>
          <w:color w:val="000000" w:themeColor="text1"/>
          <w:shd w:val="clear" w:color="auto" w:fill="FFFFFF"/>
        </w:rPr>
        <w:t>The most significant study comparing the decision making of a single Judge compared to a Jury is an American study which undertook post-trial questionnaires including the preferred verdicts over a 50 year period. In 20-36% of cases the Judge would have given a different verdict to the one returned by the jury.  Where they diverge the Judge was much more likely to find the defendant guilty. Complexity of issue</w:t>
      </w:r>
      <w:r w:rsidR="00880AD7" w:rsidRPr="002124A5">
        <w:rPr>
          <w:rFonts w:cstheme="minorHAnsi"/>
          <w:bCs/>
          <w:color w:val="000000" w:themeColor="text1"/>
          <w:shd w:val="clear" w:color="auto" w:fill="FFFFFF"/>
        </w:rPr>
        <w:t xml:space="preserve"> was not a determining factor</w:t>
      </w:r>
      <w:r w:rsidRPr="002124A5">
        <w:rPr>
          <w:rFonts w:cstheme="minorHAnsi"/>
          <w:bCs/>
          <w:color w:val="000000" w:themeColor="text1"/>
          <w:shd w:val="clear" w:color="auto" w:fill="FFFFFF"/>
        </w:rPr>
        <w:t xml:space="preserve"> –jurors simply </w:t>
      </w:r>
      <w:r w:rsidRPr="002124A5">
        <w:rPr>
          <w:rFonts w:cstheme="minorHAnsi"/>
          <w:bCs/>
          <w:color w:val="000000" w:themeColor="text1"/>
          <w:shd w:val="clear" w:color="auto" w:fill="FFFFFF"/>
        </w:rPr>
        <w:lastRenderedPageBreak/>
        <w:t>require more evidence to convict</w:t>
      </w:r>
      <w:r w:rsidR="00880AD7" w:rsidRPr="002124A5">
        <w:rPr>
          <w:rFonts w:cstheme="minorHAnsi"/>
          <w:bCs/>
          <w:color w:val="000000" w:themeColor="text1"/>
          <w:shd w:val="clear" w:color="auto" w:fill="FFFFFF"/>
        </w:rPr>
        <w:t xml:space="preserve"> (Divergent Opinions – Judge and Juror - </w:t>
      </w:r>
      <w:r w:rsidR="00880AD7" w:rsidRPr="002124A5">
        <w:rPr>
          <w:rFonts w:cstheme="minorHAnsi"/>
          <w:bCs/>
          <w:color w:val="000000" w:themeColor="text1"/>
        </w:rPr>
        <w:t xml:space="preserve">(Hans et al. 2003; Heuer &amp; Penrod 1988, 1989; </w:t>
      </w:r>
      <w:proofErr w:type="spellStart"/>
      <w:r w:rsidR="00880AD7" w:rsidRPr="002124A5">
        <w:rPr>
          <w:rFonts w:cstheme="minorHAnsi"/>
          <w:bCs/>
          <w:color w:val="000000" w:themeColor="text1"/>
        </w:rPr>
        <w:t>Kalven</w:t>
      </w:r>
      <w:proofErr w:type="spellEnd"/>
      <w:r w:rsidR="00880AD7" w:rsidRPr="002124A5">
        <w:rPr>
          <w:rFonts w:cstheme="minorHAnsi"/>
          <w:bCs/>
          <w:color w:val="000000" w:themeColor="text1"/>
        </w:rPr>
        <w:t xml:space="preserve"> &amp; Zeisel 1966).</w:t>
      </w:r>
    </w:p>
    <w:p w:rsidR="00880AD7" w:rsidRPr="002124A5" w:rsidRDefault="00EB5AF4" w:rsidP="00880AD7">
      <w:pPr>
        <w:pStyle w:val="ListParagraph"/>
        <w:numPr>
          <w:ilvl w:val="0"/>
          <w:numId w:val="3"/>
        </w:numPr>
        <w:jc w:val="both"/>
        <w:rPr>
          <w:rFonts w:cstheme="minorHAnsi"/>
          <w:bCs/>
          <w:color w:val="000000" w:themeColor="text1"/>
        </w:rPr>
      </w:pPr>
      <w:r w:rsidRPr="002124A5">
        <w:rPr>
          <w:rFonts w:cstheme="minorHAnsi"/>
          <w:bCs/>
          <w:color w:val="000000" w:themeColor="text1"/>
          <w:lang w:val="en-US"/>
        </w:rPr>
        <w:t>Where a Circuit Judge sits with magistrates, the Judge will dominate decision-making. If that happens and lay participation is not encouraged it lessens the advantages of a diverse fact finding body (</w:t>
      </w:r>
      <w:hyperlink r:id="rId11" w:history="1">
        <w:r w:rsidR="00971DF8" w:rsidRPr="002124A5">
          <w:rPr>
            <w:rStyle w:val="Hyperlink"/>
            <w:rFonts w:cstheme="minorHAnsi"/>
            <w:bCs/>
            <w:color w:val="000000" w:themeColor="text1"/>
            <w:lang w:val="en-US"/>
          </w:rPr>
          <w:t>Jury Systems Around the World</w:t>
        </w:r>
      </w:hyperlink>
      <w:r w:rsidR="00971DF8" w:rsidRPr="002124A5">
        <w:rPr>
          <w:rFonts w:cstheme="minorHAnsi"/>
          <w:bCs/>
          <w:color w:val="000000" w:themeColor="text1"/>
          <w:lang w:val="en-US"/>
        </w:rPr>
        <w:t xml:space="preserve"> </w:t>
      </w:r>
      <w:r w:rsidRPr="002124A5">
        <w:rPr>
          <w:rFonts w:cstheme="minorHAnsi"/>
          <w:bCs/>
          <w:color w:val="000000" w:themeColor="text1"/>
          <w:lang w:val="en-US"/>
        </w:rPr>
        <w:t>Hans;2008)</w:t>
      </w:r>
      <w:r w:rsidR="00880AD7" w:rsidRPr="002124A5">
        <w:rPr>
          <w:rFonts w:cstheme="minorHAnsi"/>
          <w:bCs/>
          <w:color w:val="000000" w:themeColor="text1"/>
          <w:lang w:val="en-US"/>
        </w:rPr>
        <w:t>.</w:t>
      </w:r>
    </w:p>
    <w:p w:rsidR="002C4D83" w:rsidRPr="002124A5" w:rsidRDefault="002C4D83" w:rsidP="00880AD7">
      <w:pPr>
        <w:pStyle w:val="ListParagraph"/>
        <w:numPr>
          <w:ilvl w:val="0"/>
          <w:numId w:val="3"/>
        </w:numPr>
        <w:jc w:val="both"/>
        <w:rPr>
          <w:rFonts w:cstheme="minorHAnsi"/>
          <w:bCs/>
          <w:color w:val="000000" w:themeColor="text1"/>
        </w:rPr>
      </w:pPr>
      <w:r w:rsidRPr="002124A5">
        <w:rPr>
          <w:rFonts w:cstheme="minorHAnsi"/>
          <w:bCs/>
          <w:color w:val="000000" w:themeColor="text1"/>
        </w:rPr>
        <w:t>Opinion polls consistently show strong public support for jury trials (Bar Council, 2002; ICM, 2007; Thomas, 2007)</w:t>
      </w:r>
      <w:r w:rsidR="00880AD7" w:rsidRPr="002124A5">
        <w:rPr>
          <w:rFonts w:cstheme="minorHAnsi"/>
          <w:bCs/>
          <w:color w:val="000000" w:themeColor="text1"/>
        </w:rPr>
        <w:t>.</w:t>
      </w:r>
    </w:p>
    <w:p w:rsidR="00EB5AF4" w:rsidRPr="002124A5" w:rsidRDefault="00EB5AF4" w:rsidP="00880AD7">
      <w:pPr>
        <w:pStyle w:val="ListParagraph"/>
        <w:jc w:val="both"/>
        <w:rPr>
          <w:rFonts w:cstheme="minorHAnsi"/>
          <w:bCs/>
          <w:color w:val="000000" w:themeColor="text1"/>
          <w:lang w:val="en-US"/>
        </w:rPr>
      </w:pPr>
    </w:p>
    <w:p w:rsidR="00880AD7" w:rsidRPr="002124A5" w:rsidRDefault="00880AD7" w:rsidP="00880AD7">
      <w:pPr>
        <w:pStyle w:val="ListParagraph"/>
        <w:jc w:val="right"/>
        <w:rPr>
          <w:rFonts w:cstheme="minorHAnsi"/>
          <w:bCs/>
          <w:color w:val="000000" w:themeColor="text1"/>
          <w:lang w:val="en-US"/>
        </w:rPr>
      </w:pPr>
      <w:r w:rsidRPr="002124A5">
        <w:rPr>
          <w:rFonts w:cstheme="minorHAnsi"/>
          <w:bCs/>
          <w:color w:val="000000" w:themeColor="text1"/>
          <w:lang w:val="en-US"/>
        </w:rPr>
        <w:t>KATE BRUNNER QC</w:t>
      </w:r>
    </w:p>
    <w:p w:rsidR="00880AD7" w:rsidRPr="002124A5" w:rsidRDefault="00880AD7" w:rsidP="00880AD7">
      <w:pPr>
        <w:pStyle w:val="ListParagraph"/>
        <w:jc w:val="right"/>
        <w:rPr>
          <w:rFonts w:cstheme="minorHAnsi"/>
          <w:bCs/>
          <w:color w:val="000000" w:themeColor="text1"/>
          <w:lang w:val="en-US"/>
        </w:rPr>
      </w:pPr>
      <w:r w:rsidRPr="002124A5">
        <w:rPr>
          <w:rFonts w:cstheme="minorHAnsi"/>
          <w:bCs/>
          <w:color w:val="000000" w:themeColor="text1"/>
          <w:lang w:val="en-US"/>
        </w:rPr>
        <w:t>LEADER OF THE WESTERN CIRCUIT</w:t>
      </w:r>
    </w:p>
    <w:p w:rsidR="00880AD7" w:rsidRDefault="00880AD7" w:rsidP="00880AD7">
      <w:pPr>
        <w:pStyle w:val="ListParagraph"/>
        <w:jc w:val="right"/>
        <w:rPr>
          <w:rFonts w:cstheme="minorHAnsi"/>
          <w:bCs/>
          <w:color w:val="000000" w:themeColor="text1"/>
          <w:lang w:val="en-US"/>
        </w:rPr>
      </w:pPr>
      <w:r w:rsidRPr="002124A5">
        <w:rPr>
          <w:rFonts w:cstheme="minorHAnsi"/>
          <w:bCs/>
          <w:color w:val="000000" w:themeColor="text1"/>
          <w:lang w:val="en-US"/>
        </w:rPr>
        <w:t>23 JUNE 2020</w:t>
      </w:r>
    </w:p>
    <w:p w:rsidR="00495473" w:rsidRPr="002124A5" w:rsidRDefault="00495473" w:rsidP="00880AD7">
      <w:pPr>
        <w:pStyle w:val="ListParagraph"/>
        <w:jc w:val="right"/>
        <w:rPr>
          <w:rFonts w:cstheme="minorHAnsi"/>
          <w:bCs/>
          <w:color w:val="000000" w:themeColor="text1"/>
          <w:lang w:val="en-US"/>
        </w:rPr>
      </w:pPr>
      <w:r>
        <w:rPr>
          <w:rFonts w:cstheme="minorHAnsi"/>
          <w:bCs/>
          <w:color w:val="000000" w:themeColor="text1"/>
          <w:lang w:val="en-US"/>
        </w:rPr>
        <w:t>With thanks to Olivia Whitworth for her research</w:t>
      </w:r>
    </w:p>
    <w:p w:rsidR="00880AD7" w:rsidRPr="002124A5" w:rsidRDefault="00880AD7" w:rsidP="00880AD7">
      <w:pPr>
        <w:pStyle w:val="ListParagraph"/>
        <w:jc w:val="right"/>
        <w:rPr>
          <w:rFonts w:cstheme="minorHAnsi"/>
          <w:bCs/>
          <w:color w:val="000000" w:themeColor="text1"/>
          <w:lang w:val="en-US"/>
        </w:rPr>
      </w:pPr>
    </w:p>
    <w:p w:rsidR="00EB5AF4" w:rsidRPr="002124A5" w:rsidRDefault="00EB5AF4" w:rsidP="00585BAF">
      <w:pPr>
        <w:jc w:val="both"/>
        <w:rPr>
          <w:rFonts w:cstheme="minorHAnsi"/>
          <w:bCs/>
          <w:color w:val="000000" w:themeColor="text1"/>
          <w:lang w:val="en-US"/>
        </w:rPr>
      </w:pPr>
    </w:p>
    <w:p w:rsidR="00EB5AF4" w:rsidRPr="002124A5" w:rsidRDefault="00EB5AF4" w:rsidP="00585BAF">
      <w:pPr>
        <w:pStyle w:val="ListParagraph"/>
        <w:jc w:val="both"/>
        <w:rPr>
          <w:rFonts w:cstheme="minorHAnsi"/>
          <w:bCs/>
          <w:color w:val="000000" w:themeColor="text1"/>
          <w:lang w:val="en-US"/>
        </w:rPr>
      </w:pPr>
    </w:p>
    <w:p w:rsidR="00EB5AF4" w:rsidRPr="002124A5" w:rsidRDefault="00EB5AF4" w:rsidP="00585BAF">
      <w:pPr>
        <w:pStyle w:val="ListParagraph"/>
        <w:jc w:val="both"/>
        <w:rPr>
          <w:rFonts w:cstheme="minorHAnsi"/>
          <w:bCs/>
          <w:color w:val="000000" w:themeColor="text1"/>
          <w:lang w:val="en-US"/>
        </w:rPr>
      </w:pPr>
    </w:p>
    <w:p w:rsidR="00DF0503" w:rsidRPr="002124A5" w:rsidRDefault="00DF0503" w:rsidP="00585BAF">
      <w:pPr>
        <w:jc w:val="both"/>
        <w:rPr>
          <w:rFonts w:cstheme="minorHAnsi"/>
          <w:bCs/>
          <w:color w:val="000000" w:themeColor="text1"/>
        </w:rPr>
      </w:pPr>
    </w:p>
    <w:sectPr w:rsidR="00DF0503" w:rsidRPr="0021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56FBB"/>
    <w:multiLevelType w:val="hybridMultilevel"/>
    <w:tmpl w:val="90B04DF4"/>
    <w:lvl w:ilvl="0" w:tplc="DC542C28">
      <w:start w:val="1"/>
      <w:numFmt w:val="decimal"/>
      <w:lvlText w:val="%1."/>
      <w:lvlJc w:val="left"/>
      <w:pPr>
        <w:ind w:left="720" w:hanging="360"/>
      </w:pPr>
      <w:rPr>
        <w:rFonts w:asciiTheme="minorHAnsi" w:eastAsia="Times New Roman" w:hAnsiTheme="minorHAnsi" w:cstheme="minorHAns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026AF"/>
    <w:multiLevelType w:val="hybridMultilevel"/>
    <w:tmpl w:val="7166F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B66931"/>
    <w:multiLevelType w:val="hybridMultilevel"/>
    <w:tmpl w:val="E0D4D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894BD6"/>
    <w:multiLevelType w:val="hybridMultilevel"/>
    <w:tmpl w:val="90B04DF4"/>
    <w:lvl w:ilvl="0" w:tplc="DC542C28">
      <w:start w:val="1"/>
      <w:numFmt w:val="decimal"/>
      <w:lvlText w:val="%1."/>
      <w:lvlJc w:val="left"/>
      <w:pPr>
        <w:ind w:left="720" w:hanging="360"/>
      </w:pPr>
      <w:rPr>
        <w:rFonts w:asciiTheme="minorHAnsi" w:eastAsia="Times New Roman" w:hAnsiTheme="minorHAnsi" w:cstheme="minorHAns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82A"/>
    <w:rsid w:val="00021417"/>
    <w:rsid w:val="00073A3E"/>
    <w:rsid w:val="002124A5"/>
    <w:rsid w:val="002C4D83"/>
    <w:rsid w:val="002F4E4A"/>
    <w:rsid w:val="00495473"/>
    <w:rsid w:val="00556809"/>
    <w:rsid w:val="00585BAF"/>
    <w:rsid w:val="00880AD7"/>
    <w:rsid w:val="00971DF8"/>
    <w:rsid w:val="009A282A"/>
    <w:rsid w:val="00BC16E5"/>
    <w:rsid w:val="00DF0503"/>
    <w:rsid w:val="00EB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67E4"/>
  <w15:chartTrackingRefBased/>
  <w15:docId w15:val="{075C0FB6-9EC4-4CFF-96F0-25A748D0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82A"/>
    <w:rPr>
      <w:color w:val="0000FF"/>
      <w:u w:val="single"/>
    </w:rPr>
  </w:style>
  <w:style w:type="paragraph" w:styleId="ListParagraph">
    <w:name w:val="List Paragraph"/>
    <w:basedOn w:val="Normal"/>
    <w:uiPriority w:val="34"/>
    <w:qFormat/>
    <w:rsid w:val="00EB5AF4"/>
    <w:pPr>
      <w:ind w:left="720"/>
      <w:contextualSpacing/>
    </w:pPr>
  </w:style>
  <w:style w:type="character" w:styleId="UnresolvedMention">
    <w:name w:val="Unresolved Mention"/>
    <w:basedOn w:val="DefaultParagraphFont"/>
    <w:uiPriority w:val="99"/>
    <w:semiHidden/>
    <w:unhideWhenUsed/>
    <w:rsid w:val="00EB5AF4"/>
    <w:rPr>
      <w:color w:val="605E5C"/>
      <w:shd w:val="clear" w:color="auto" w:fill="E1DFDD"/>
    </w:rPr>
  </w:style>
  <w:style w:type="character" w:styleId="FollowedHyperlink">
    <w:name w:val="FollowedHyperlink"/>
    <w:basedOn w:val="DefaultParagraphFont"/>
    <w:uiPriority w:val="99"/>
    <w:semiHidden/>
    <w:unhideWhenUsed/>
    <w:rsid w:val="00971DF8"/>
    <w:rPr>
      <w:color w:val="954F72" w:themeColor="followedHyperlink"/>
      <w:u w:val="single"/>
    </w:rPr>
  </w:style>
  <w:style w:type="paragraph" w:styleId="NormalWeb">
    <w:name w:val="Normal (Web)"/>
    <w:basedOn w:val="Normal"/>
    <w:uiPriority w:val="99"/>
    <w:semiHidden/>
    <w:unhideWhenUsed/>
    <w:rsid w:val="00073A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0AD7"/>
    <w:pPr>
      <w:tabs>
        <w:tab w:val="center" w:pos="4513"/>
        <w:tab w:val="right" w:pos="9026"/>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880A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8697">
      <w:bodyDiv w:val="1"/>
      <w:marLeft w:val="0"/>
      <w:marRight w:val="0"/>
      <w:marTop w:val="0"/>
      <w:marBottom w:val="0"/>
      <w:divBdr>
        <w:top w:val="none" w:sz="0" w:space="0" w:color="auto"/>
        <w:left w:val="none" w:sz="0" w:space="0" w:color="auto"/>
        <w:bottom w:val="none" w:sz="0" w:space="0" w:color="auto"/>
        <w:right w:val="none" w:sz="0" w:space="0" w:color="auto"/>
      </w:divBdr>
      <w:divsChild>
        <w:div w:id="356539512">
          <w:marLeft w:val="0"/>
          <w:marRight w:val="0"/>
          <w:marTop w:val="0"/>
          <w:marBottom w:val="0"/>
          <w:divBdr>
            <w:top w:val="none" w:sz="0" w:space="0" w:color="auto"/>
            <w:left w:val="none" w:sz="0" w:space="0" w:color="auto"/>
            <w:bottom w:val="none" w:sz="0" w:space="0" w:color="auto"/>
            <w:right w:val="none" w:sz="0" w:space="0" w:color="auto"/>
          </w:divBdr>
          <w:divsChild>
            <w:div w:id="208033078">
              <w:marLeft w:val="0"/>
              <w:marRight w:val="0"/>
              <w:marTop w:val="0"/>
              <w:marBottom w:val="0"/>
              <w:divBdr>
                <w:top w:val="none" w:sz="0" w:space="0" w:color="auto"/>
                <w:left w:val="none" w:sz="0" w:space="0" w:color="auto"/>
                <w:bottom w:val="none" w:sz="0" w:space="0" w:color="auto"/>
                <w:right w:val="none" w:sz="0" w:space="0" w:color="auto"/>
              </w:divBdr>
              <w:divsChild>
                <w:div w:id="1994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71208">
      <w:bodyDiv w:val="1"/>
      <w:marLeft w:val="0"/>
      <w:marRight w:val="0"/>
      <w:marTop w:val="0"/>
      <w:marBottom w:val="0"/>
      <w:divBdr>
        <w:top w:val="none" w:sz="0" w:space="0" w:color="auto"/>
        <w:left w:val="none" w:sz="0" w:space="0" w:color="auto"/>
        <w:bottom w:val="none" w:sz="0" w:space="0" w:color="auto"/>
        <w:right w:val="none" w:sz="0" w:space="0" w:color="auto"/>
      </w:divBdr>
      <w:divsChild>
        <w:div w:id="1662780517">
          <w:marLeft w:val="0"/>
          <w:marRight w:val="0"/>
          <w:marTop w:val="0"/>
          <w:marBottom w:val="0"/>
          <w:divBdr>
            <w:top w:val="none" w:sz="0" w:space="0" w:color="auto"/>
            <w:left w:val="none" w:sz="0" w:space="0" w:color="auto"/>
            <w:bottom w:val="none" w:sz="0" w:space="0" w:color="auto"/>
            <w:right w:val="none" w:sz="0" w:space="0" w:color="auto"/>
          </w:divBdr>
          <w:divsChild>
            <w:div w:id="229733540">
              <w:marLeft w:val="0"/>
              <w:marRight w:val="0"/>
              <w:marTop w:val="0"/>
              <w:marBottom w:val="0"/>
              <w:divBdr>
                <w:top w:val="none" w:sz="0" w:space="0" w:color="auto"/>
                <w:left w:val="none" w:sz="0" w:space="0" w:color="auto"/>
                <w:bottom w:val="none" w:sz="0" w:space="0" w:color="auto"/>
                <w:right w:val="none" w:sz="0" w:space="0" w:color="auto"/>
              </w:divBdr>
              <w:divsChild>
                <w:div w:id="13336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49831">
      <w:bodyDiv w:val="1"/>
      <w:marLeft w:val="0"/>
      <w:marRight w:val="0"/>
      <w:marTop w:val="0"/>
      <w:marBottom w:val="0"/>
      <w:divBdr>
        <w:top w:val="none" w:sz="0" w:space="0" w:color="auto"/>
        <w:left w:val="none" w:sz="0" w:space="0" w:color="auto"/>
        <w:bottom w:val="none" w:sz="0" w:space="0" w:color="auto"/>
        <w:right w:val="none" w:sz="0" w:space="0" w:color="auto"/>
      </w:divBdr>
      <w:divsChild>
        <w:div w:id="242567865">
          <w:marLeft w:val="0"/>
          <w:marRight w:val="0"/>
          <w:marTop w:val="0"/>
          <w:marBottom w:val="0"/>
          <w:divBdr>
            <w:top w:val="none" w:sz="0" w:space="0" w:color="auto"/>
            <w:left w:val="none" w:sz="0" w:space="0" w:color="auto"/>
            <w:bottom w:val="none" w:sz="0" w:space="0" w:color="auto"/>
            <w:right w:val="none" w:sz="0" w:space="0" w:color="auto"/>
          </w:divBdr>
          <w:divsChild>
            <w:div w:id="163130265">
              <w:marLeft w:val="0"/>
              <w:marRight w:val="0"/>
              <w:marTop w:val="0"/>
              <w:marBottom w:val="0"/>
              <w:divBdr>
                <w:top w:val="none" w:sz="0" w:space="0" w:color="auto"/>
                <w:left w:val="none" w:sz="0" w:space="0" w:color="auto"/>
                <w:bottom w:val="none" w:sz="0" w:space="0" w:color="auto"/>
                <w:right w:val="none" w:sz="0" w:space="0" w:color="auto"/>
              </w:divBdr>
              <w:divsChild>
                <w:div w:id="17706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275">
      <w:bodyDiv w:val="1"/>
      <w:marLeft w:val="0"/>
      <w:marRight w:val="0"/>
      <w:marTop w:val="0"/>
      <w:marBottom w:val="0"/>
      <w:divBdr>
        <w:top w:val="none" w:sz="0" w:space="0" w:color="auto"/>
        <w:left w:val="none" w:sz="0" w:space="0" w:color="auto"/>
        <w:bottom w:val="none" w:sz="0" w:space="0" w:color="auto"/>
        <w:right w:val="none" w:sz="0" w:space="0" w:color="auto"/>
      </w:divBdr>
      <w:divsChild>
        <w:div w:id="2010013994">
          <w:marLeft w:val="0"/>
          <w:marRight w:val="0"/>
          <w:marTop w:val="0"/>
          <w:marBottom w:val="0"/>
          <w:divBdr>
            <w:top w:val="none" w:sz="0" w:space="0" w:color="auto"/>
            <w:left w:val="none" w:sz="0" w:space="0" w:color="auto"/>
            <w:bottom w:val="none" w:sz="0" w:space="0" w:color="auto"/>
            <w:right w:val="none" w:sz="0" w:space="0" w:color="auto"/>
          </w:divBdr>
          <w:divsChild>
            <w:div w:id="28724763">
              <w:marLeft w:val="0"/>
              <w:marRight w:val="0"/>
              <w:marTop w:val="0"/>
              <w:marBottom w:val="0"/>
              <w:divBdr>
                <w:top w:val="none" w:sz="0" w:space="0" w:color="auto"/>
                <w:left w:val="none" w:sz="0" w:space="0" w:color="auto"/>
                <w:bottom w:val="none" w:sz="0" w:space="0" w:color="auto"/>
                <w:right w:val="none" w:sz="0" w:space="0" w:color="auto"/>
              </w:divBdr>
              <w:divsChild>
                <w:div w:id="16867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95966">
      <w:bodyDiv w:val="1"/>
      <w:marLeft w:val="0"/>
      <w:marRight w:val="0"/>
      <w:marTop w:val="0"/>
      <w:marBottom w:val="0"/>
      <w:divBdr>
        <w:top w:val="none" w:sz="0" w:space="0" w:color="auto"/>
        <w:left w:val="none" w:sz="0" w:space="0" w:color="auto"/>
        <w:bottom w:val="none" w:sz="0" w:space="0" w:color="auto"/>
        <w:right w:val="none" w:sz="0" w:space="0" w:color="auto"/>
      </w:divBdr>
      <w:divsChild>
        <w:div w:id="1361739616">
          <w:marLeft w:val="0"/>
          <w:marRight w:val="0"/>
          <w:marTop w:val="0"/>
          <w:marBottom w:val="0"/>
          <w:divBdr>
            <w:top w:val="none" w:sz="0" w:space="0" w:color="auto"/>
            <w:left w:val="none" w:sz="0" w:space="0" w:color="auto"/>
            <w:bottom w:val="none" w:sz="0" w:space="0" w:color="auto"/>
            <w:right w:val="none" w:sz="0" w:space="0" w:color="auto"/>
          </w:divBdr>
          <w:divsChild>
            <w:div w:id="1195657767">
              <w:marLeft w:val="0"/>
              <w:marRight w:val="0"/>
              <w:marTop w:val="0"/>
              <w:marBottom w:val="0"/>
              <w:divBdr>
                <w:top w:val="none" w:sz="0" w:space="0" w:color="auto"/>
                <w:left w:val="none" w:sz="0" w:space="0" w:color="auto"/>
                <w:bottom w:val="none" w:sz="0" w:space="0" w:color="auto"/>
                <w:right w:val="none" w:sz="0" w:space="0" w:color="auto"/>
              </w:divBdr>
              <w:divsChild>
                <w:div w:id="15019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opkins,%20K.,%20Uhrig,%20N.,%20and%20Colahan,%20M.%20Ministry%20of%20Justice%20Associations%20between%20ethnic%20background%20and%20being%20sentenced%20to%20prison%20in%20the%20Crown%20Court%20in%20England%20and%20Wales%20in%202015,%20(2016),%20https:/www.gov.uk/government/%20statistics/associations-between-ethnic-background-and-being-sentenced-to-prison-in-the-crown-court-in-%20england-and-wales-in-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homas,%20C.%20Criminal%20Law%20Review,%20number%209.%20Ethnicity%20and%20Fairness%20of%20Jury%20Trials%20in%20England%20and%20Wales%202006-2014%20(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gov.uk/downloads/publications/research-and-analysis/moj-research/are-juries-fair-research.pdf" TargetMode="External"/><Relationship Id="rId11" Type="http://schemas.openxmlformats.org/officeDocument/2006/relationships/hyperlink" Target="https://scholarship.law.cornell.edu/cgi/viewcontent.cgi?article=1378&amp;context=facpub" TargetMode="External"/><Relationship Id="rId5" Type="http://schemas.openxmlformats.org/officeDocument/2006/relationships/image" Target="media/image1.png"/><Relationship Id="rId10" Type="http://schemas.openxmlformats.org/officeDocument/2006/relationships/hyperlink" Target="https://www.judiciary.uk/wp-content/uploads/2019/07/Judicial-Diversity-Statistics-2019.pdf" TargetMode="External"/><Relationship Id="rId4" Type="http://schemas.openxmlformats.org/officeDocument/2006/relationships/webSettings" Target="webSettings.xml"/><Relationship Id="rId9" Type="http://schemas.openxmlformats.org/officeDocument/2006/relationships/hyperlink" Target="file:////Users/katebrunner/Dropbox%20(Albion%20Chambers)/CIRCUIT%20LEADER/Hopkins,%20K.,%20Uhrig,%20N.,%20and%20Colahan,%20M.%20Ministry%20of%20Justice%20Associations%20between%20ethnic%20background%20and%20being%20sentenced%20to%20prison%20in%20the%20Crown%20Court%20in%20England%20and%20Wales%20in%202015,%20(2016),%20https:/www.gov.uk/government/%20statistics/associations-between-ethnic-background-and-being-sentenced-to-prison-in-the-crown-court-in-%20england-and-wales-in-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ChumpChange</dc:creator>
  <cp:keywords/>
  <dc:description/>
  <cp:lastModifiedBy>Kate Brunner</cp:lastModifiedBy>
  <cp:revision>6</cp:revision>
  <dcterms:created xsi:type="dcterms:W3CDTF">2020-06-23T07:11:00Z</dcterms:created>
  <dcterms:modified xsi:type="dcterms:W3CDTF">2020-06-23T08:56:00Z</dcterms:modified>
</cp:coreProperties>
</file>